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5332" w14:textId="77777777" w:rsidR="003F2F1A" w:rsidRPr="006F689E" w:rsidRDefault="003F2F1A" w:rsidP="003F2F1A">
      <w:pPr>
        <w:ind w:left="0"/>
        <w:rPr>
          <w:rFonts w:ascii="Arial Narrow" w:hAnsi="Arial Narrow"/>
          <w:smallCaps/>
          <w:sz w:val="48"/>
          <w:szCs w:val="48"/>
        </w:rPr>
      </w:pPr>
      <w:r>
        <w:rPr>
          <w:rFonts w:ascii="Arial Narrow" w:hAnsi="Arial Narrow"/>
          <w:smallCaps/>
          <w:sz w:val="48"/>
          <w:szCs w:val="48"/>
        </w:rPr>
        <w:t>P</w:t>
      </w:r>
      <w:r w:rsidRPr="006F689E">
        <w:rPr>
          <w:rFonts w:ascii="Arial Narrow" w:hAnsi="Arial Narrow"/>
          <w:smallCaps/>
          <w:sz w:val="48"/>
          <w:szCs w:val="48"/>
        </w:rPr>
        <w:t xml:space="preserve">ittsburgh </w:t>
      </w:r>
      <w:r>
        <w:rPr>
          <w:rFonts w:ascii="Arial Narrow" w:hAnsi="Arial Narrow"/>
          <w:smallCaps/>
          <w:sz w:val="48"/>
          <w:szCs w:val="48"/>
        </w:rPr>
        <w:t>P</w:t>
      </w:r>
      <w:r w:rsidRPr="006F689E">
        <w:rPr>
          <w:rFonts w:ascii="Arial Narrow" w:hAnsi="Arial Narrow"/>
          <w:smallCaps/>
          <w:sz w:val="48"/>
          <w:szCs w:val="48"/>
        </w:rPr>
        <w:t xml:space="preserve">lanned </w:t>
      </w:r>
      <w:r>
        <w:rPr>
          <w:rFonts w:ascii="Arial Narrow" w:hAnsi="Arial Narrow"/>
          <w:smallCaps/>
          <w:sz w:val="48"/>
          <w:szCs w:val="48"/>
        </w:rPr>
        <w:t>G</w:t>
      </w:r>
      <w:r w:rsidRPr="006F689E">
        <w:rPr>
          <w:rFonts w:ascii="Arial Narrow" w:hAnsi="Arial Narrow"/>
          <w:smallCaps/>
          <w:sz w:val="48"/>
          <w:szCs w:val="48"/>
        </w:rPr>
        <w:t xml:space="preserve">iving </w:t>
      </w:r>
      <w:r>
        <w:rPr>
          <w:rFonts w:ascii="Arial Narrow" w:hAnsi="Arial Narrow"/>
          <w:smallCaps/>
          <w:sz w:val="48"/>
          <w:szCs w:val="48"/>
        </w:rPr>
        <w:t>C</w:t>
      </w:r>
      <w:r w:rsidRPr="006F689E">
        <w:rPr>
          <w:rFonts w:ascii="Arial Narrow" w:hAnsi="Arial Narrow"/>
          <w:smallCaps/>
          <w:sz w:val="48"/>
          <w:szCs w:val="48"/>
        </w:rPr>
        <w:t>ouncil</w:t>
      </w:r>
    </w:p>
    <w:p w14:paraId="19549EDA" w14:textId="77777777" w:rsidR="003F2F1A" w:rsidRDefault="003F2F1A" w:rsidP="003F2F1A">
      <w:pPr>
        <w:ind w:left="0"/>
        <w:rPr>
          <w:rFonts w:ascii="Arial Narrow" w:hAnsi="Arial Narrow"/>
          <w:smallCaps/>
          <w:sz w:val="48"/>
          <w:szCs w:val="48"/>
        </w:rPr>
      </w:pPr>
      <w:r>
        <w:rPr>
          <w:rFonts w:ascii="Arial Narrow" w:hAnsi="Arial Narrow"/>
          <w:smallCaps/>
          <w:sz w:val="48"/>
          <w:szCs w:val="48"/>
        </w:rPr>
        <w:t>Legislative Update</w:t>
      </w:r>
    </w:p>
    <w:p w14:paraId="5E5EC412" w14:textId="77777777" w:rsidR="003F2F1A" w:rsidRDefault="003F2F1A" w:rsidP="003F2F1A">
      <w:pPr>
        <w:ind w:left="0"/>
        <w:rPr>
          <w:rFonts w:ascii="Arial Narrow" w:hAnsi="Arial Narrow"/>
          <w:smallCaps/>
          <w:sz w:val="44"/>
          <w:szCs w:val="44"/>
        </w:rPr>
      </w:pPr>
      <w:r w:rsidRPr="00BD0A6F">
        <w:rPr>
          <w:rFonts w:ascii="Arial Narrow" w:hAnsi="Arial Narrow"/>
          <w:smallCaps/>
          <w:sz w:val="44"/>
          <w:szCs w:val="44"/>
        </w:rPr>
        <w:t>By Jack Owen, Esq.</w:t>
      </w:r>
      <w:r>
        <w:rPr>
          <w:rFonts w:ascii="Arial Narrow" w:hAnsi="Arial Narrow"/>
          <w:smallCaps/>
          <w:sz w:val="44"/>
          <w:szCs w:val="44"/>
        </w:rPr>
        <w:t xml:space="preserve"> </w:t>
      </w:r>
    </w:p>
    <w:p w14:paraId="7494CD30" w14:textId="6D942DF3" w:rsidR="003F2F1A" w:rsidRDefault="00BD5162" w:rsidP="003F2F1A">
      <w:pPr>
        <w:ind w:left="0"/>
        <w:rPr>
          <w:rFonts w:ascii="Arial Narrow" w:hAnsi="Arial Narrow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August </w:t>
      </w:r>
      <w:r w:rsidR="003F2F1A">
        <w:rPr>
          <w:rFonts w:ascii="Arial Narrow" w:hAnsi="Arial Narrow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3480D">
        <w:rPr>
          <w:rFonts w:ascii="Arial Narrow" w:hAnsi="Arial Narrow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9035175" w14:textId="61A614A6" w:rsidR="00DC47C3" w:rsidRDefault="00DC47C3" w:rsidP="00B7774F">
      <w:pPr>
        <w:tabs>
          <w:tab w:val="left" w:pos="720"/>
          <w:tab w:val="left" w:pos="1440"/>
          <w:tab w:val="left" w:pos="2160"/>
          <w:tab w:val="left" w:pos="2790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</w:p>
    <w:p w14:paraId="3B730676" w14:textId="77777777" w:rsidR="00B65FE2" w:rsidRPr="002E16BF" w:rsidRDefault="00B65FE2" w:rsidP="00B7774F">
      <w:pPr>
        <w:tabs>
          <w:tab w:val="left" w:pos="720"/>
          <w:tab w:val="left" w:pos="1440"/>
          <w:tab w:val="left" w:pos="2160"/>
          <w:tab w:val="left" w:pos="2790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</w:p>
    <w:p w14:paraId="0C6E21EA" w14:textId="1E057623" w:rsidR="005D6F64" w:rsidRDefault="0093480D" w:rsidP="00B7774F">
      <w:pPr>
        <w:ind w:left="0" w:firstLine="0"/>
        <w:rPr>
          <w:rFonts w:cs="Tahoma"/>
        </w:rPr>
      </w:pPr>
      <w:r>
        <w:rPr>
          <w:rFonts w:cs="Tahoma"/>
        </w:rPr>
        <w:t xml:space="preserve">At the July 26, 2022 PPGC member meeting, I discussed a recent Tax Court case where a donor lost a $400K plus charitable tax deduction.  In </w:t>
      </w:r>
      <w:r w:rsidRPr="0093480D">
        <w:rPr>
          <w:rFonts w:cs="Tahoma"/>
          <w:u w:val="single"/>
        </w:rPr>
        <w:t>Albrecht v. Commissioner</w:t>
      </w:r>
      <w:r w:rsidRPr="0093480D">
        <w:rPr>
          <w:rFonts w:cs="Tahoma"/>
        </w:rPr>
        <w:t>,</w:t>
      </w:r>
      <w:r>
        <w:rPr>
          <w:rFonts w:cs="Tahoma"/>
        </w:rPr>
        <w:t xml:space="preserve"> TC Memo 2022-53</w:t>
      </w:r>
      <w:r w:rsidR="005F3B24">
        <w:rPr>
          <w:rFonts w:cs="Tahoma"/>
        </w:rPr>
        <w:t>, the taxpayer donated Native American jewelry and artifacts to the Wheelwright Museum of the American Indian.  The IRS challenged her deduction because the “contemporaneous written acknowledgement” required by</w:t>
      </w:r>
      <w:r w:rsidR="00F44B8B">
        <w:rPr>
          <w:rFonts w:cs="Tahoma"/>
        </w:rPr>
        <w:t xml:space="preserve"> the</w:t>
      </w:r>
      <w:r w:rsidR="005F3B24">
        <w:rPr>
          <w:rFonts w:cs="Tahoma"/>
        </w:rPr>
        <w:t xml:space="preserve"> tax law</w:t>
      </w:r>
      <w:r w:rsidR="00F44B8B">
        <w:rPr>
          <w:rFonts w:cs="Tahoma"/>
        </w:rPr>
        <w:t xml:space="preserve"> substantiation rules</w:t>
      </w:r>
      <w:r w:rsidR="005F3B24">
        <w:rPr>
          <w:rFonts w:cs="Tahoma"/>
        </w:rPr>
        <w:t xml:space="preserve"> did not have the magic language that she did not receive any goods or services in return for her donation.  The Tax Court agreed with the IRS and </w:t>
      </w:r>
      <w:r w:rsidR="00FF7440">
        <w:rPr>
          <w:rFonts w:cs="Tahoma"/>
        </w:rPr>
        <w:t>disallowed her charitable deduction finding that she had not received the</w:t>
      </w:r>
      <w:r w:rsidR="00F44B8B">
        <w:rPr>
          <w:rFonts w:cs="Tahoma"/>
        </w:rPr>
        <w:t xml:space="preserve"> legally </w:t>
      </w:r>
      <w:r w:rsidR="00FF7440">
        <w:rPr>
          <w:rFonts w:cs="Tahoma"/>
        </w:rPr>
        <w:t>required acknowledgement before filing her tax return</w:t>
      </w:r>
      <w:r w:rsidR="00F44B8B">
        <w:rPr>
          <w:rFonts w:cs="Tahoma"/>
        </w:rPr>
        <w:t>.  In reaching its decision, t</w:t>
      </w:r>
      <w:r w:rsidR="005D6F64">
        <w:rPr>
          <w:rFonts w:cs="Tahoma"/>
        </w:rPr>
        <w:t>he Tax Court followed the IRS in a strict reading of the applicable statute.  The case has been appealed.</w:t>
      </w:r>
    </w:p>
    <w:p w14:paraId="0968DE91" w14:textId="172F24F0" w:rsidR="005D6F64" w:rsidRDefault="005D6F64" w:rsidP="00B7774F">
      <w:pPr>
        <w:ind w:left="0" w:firstLine="0"/>
        <w:rPr>
          <w:rFonts w:cs="Tahoma"/>
        </w:rPr>
      </w:pPr>
    </w:p>
    <w:p w14:paraId="06A8D0E0" w14:textId="5C9B4542" w:rsidR="005D6F64" w:rsidRDefault="00BD5162" w:rsidP="00B7774F">
      <w:pPr>
        <w:ind w:left="0" w:firstLine="0"/>
        <w:rPr>
          <w:rFonts w:cs="Tahoma"/>
        </w:rPr>
      </w:pPr>
      <w:r>
        <w:rPr>
          <w:rFonts w:cs="Tahoma"/>
        </w:rPr>
        <w:t>As this case demonstrates</w:t>
      </w:r>
      <w:r w:rsidR="005D6F64">
        <w:rPr>
          <w:rFonts w:cs="Tahoma"/>
        </w:rPr>
        <w:t>, it is critical for all charities to review their acknowledgement letter</w:t>
      </w:r>
      <w:r w:rsidR="00160B7B">
        <w:rPr>
          <w:rFonts w:cs="Tahoma"/>
        </w:rPr>
        <w:t>s</w:t>
      </w:r>
      <w:r w:rsidR="005D6F64">
        <w:rPr>
          <w:rFonts w:cs="Tahoma"/>
        </w:rPr>
        <w:t xml:space="preserve"> to be sure they follow the letter of the law.  It is impossible to tell from the facts of the case how or why the </w:t>
      </w:r>
      <w:r w:rsidR="00E81DD4">
        <w:rPr>
          <w:rFonts w:cs="Tahoma"/>
        </w:rPr>
        <w:t>M</w:t>
      </w:r>
      <w:r w:rsidR="005D6F64">
        <w:rPr>
          <w:rFonts w:cs="Tahoma"/>
        </w:rPr>
        <w:t>useum issue</w:t>
      </w:r>
      <w:r w:rsidR="00E81DD4">
        <w:rPr>
          <w:rFonts w:cs="Tahoma"/>
        </w:rPr>
        <w:t>d an incorrect acknowledgement letter, or whether the Museum</w:t>
      </w:r>
      <w:r w:rsidR="00F579F7">
        <w:rPr>
          <w:rFonts w:cs="Tahoma"/>
        </w:rPr>
        <w:t xml:space="preserve"> tried to correct the mistake.  While it is the donor’s responsibility to substantiate </w:t>
      </w:r>
      <w:r w:rsidR="00F44B8B">
        <w:rPr>
          <w:rFonts w:cs="Tahoma"/>
        </w:rPr>
        <w:t>his or her</w:t>
      </w:r>
      <w:r w:rsidR="00F579F7">
        <w:rPr>
          <w:rFonts w:cs="Tahoma"/>
        </w:rPr>
        <w:t xml:space="preserve"> deduction </w:t>
      </w:r>
      <w:r w:rsidR="00F44B8B">
        <w:rPr>
          <w:rFonts w:cs="Tahoma"/>
        </w:rPr>
        <w:t>by obtaining</w:t>
      </w:r>
      <w:r w:rsidR="00F579F7">
        <w:rPr>
          <w:rFonts w:cs="Tahoma"/>
        </w:rPr>
        <w:t xml:space="preserve"> a correct acknowledgement letter, most donors (including myself) rely on the good faith of the charitable done</w:t>
      </w:r>
      <w:r w:rsidR="005137AF">
        <w:rPr>
          <w:rFonts w:cs="Tahoma"/>
        </w:rPr>
        <w:t>e</w:t>
      </w:r>
      <w:r w:rsidR="00F579F7">
        <w:rPr>
          <w:rFonts w:cs="Tahoma"/>
        </w:rPr>
        <w:t xml:space="preserve"> to provide the acknowledgement letter.  I would imagine that the taxpayer was none too happy with the done</w:t>
      </w:r>
      <w:r w:rsidR="00160B7B">
        <w:rPr>
          <w:rFonts w:cs="Tahoma"/>
        </w:rPr>
        <w:t>e</w:t>
      </w:r>
      <w:r w:rsidR="00F579F7">
        <w:rPr>
          <w:rFonts w:cs="Tahoma"/>
        </w:rPr>
        <w:t xml:space="preserve"> Museum for helping her to lose a $400K plus charitable deduction.</w:t>
      </w:r>
      <w:r w:rsidR="00F44B8B">
        <w:rPr>
          <w:rFonts w:cs="Tahoma"/>
        </w:rPr>
        <w:t xml:space="preserve">  </w:t>
      </w:r>
      <w:r w:rsidR="00F579F7">
        <w:rPr>
          <w:rFonts w:cs="Tahoma"/>
        </w:rPr>
        <w:t xml:space="preserve">The </w:t>
      </w:r>
      <w:r w:rsidR="00F579F7" w:rsidRPr="00F579F7">
        <w:rPr>
          <w:rFonts w:cs="Tahoma"/>
          <w:u w:val="single"/>
        </w:rPr>
        <w:t>Albrecht</w:t>
      </w:r>
      <w:r w:rsidR="00F579F7">
        <w:rPr>
          <w:rFonts w:cs="Tahoma"/>
        </w:rPr>
        <w:t xml:space="preserve"> case demonstrates the importance of </w:t>
      </w:r>
      <w:r w:rsidR="00F44B8B">
        <w:rPr>
          <w:rFonts w:cs="Tahoma"/>
        </w:rPr>
        <w:t xml:space="preserve">carefully </w:t>
      </w:r>
      <w:r w:rsidR="00F579F7">
        <w:rPr>
          <w:rFonts w:cs="Tahoma"/>
        </w:rPr>
        <w:t>following the charitable deduction</w:t>
      </w:r>
      <w:r w:rsidR="00F44B8B">
        <w:rPr>
          <w:rFonts w:cs="Tahoma"/>
        </w:rPr>
        <w:t xml:space="preserve"> </w:t>
      </w:r>
      <w:r w:rsidR="00F579F7">
        <w:rPr>
          <w:rFonts w:cs="Tahoma"/>
        </w:rPr>
        <w:t>substantiation rules.</w:t>
      </w:r>
      <w:r w:rsidR="00E81DD4">
        <w:rPr>
          <w:rFonts w:cs="Tahoma"/>
        </w:rPr>
        <w:t xml:space="preserve"> </w:t>
      </w:r>
    </w:p>
    <w:p w14:paraId="279C2ABE" w14:textId="77777777" w:rsidR="00B7774F" w:rsidRDefault="00B7774F" w:rsidP="00B7774F">
      <w:pPr>
        <w:ind w:left="0" w:firstLine="0"/>
        <w:rPr>
          <w:rFonts w:cs="Tahoma"/>
        </w:rPr>
      </w:pPr>
    </w:p>
    <w:p w14:paraId="06B4CBF9" w14:textId="3CB23618" w:rsidR="00B7774F" w:rsidRPr="001D42BC" w:rsidRDefault="00B7774F" w:rsidP="00B7774F">
      <w:pPr>
        <w:ind w:left="0" w:firstLine="0"/>
        <w:rPr>
          <w:rFonts w:cs="Tahoma"/>
        </w:rPr>
      </w:pPr>
      <w:r w:rsidRPr="001D42BC">
        <w:rPr>
          <w:rFonts w:cs="Tahoma"/>
        </w:rPr>
        <w:t xml:space="preserve">Please do not hesitate to contact </w:t>
      </w:r>
      <w:r w:rsidR="003F2F1A">
        <w:rPr>
          <w:rFonts w:cs="Tahoma"/>
        </w:rPr>
        <w:t>any PPGC Board member</w:t>
      </w:r>
      <w:r w:rsidRPr="001D42BC">
        <w:rPr>
          <w:rFonts w:cs="Tahoma"/>
        </w:rPr>
        <w:t xml:space="preserve"> if you have any questions on </w:t>
      </w:r>
      <w:r w:rsidR="00BD5162">
        <w:rPr>
          <w:rFonts w:cs="Tahoma"/>
        </w:rPr>
        <w:t>this</w:t>
      </w:r>
      <w:r>
        <w:rPr>
          <w:rFonts w:cs="Tahoma"/>
        </w:rPr>
        <w:t xml:space="preserve"> subject</w:t>
      </w:r>
      <w:r w:rsidRPr="001D42BC">
        <w:rPr>
          <w:rFonts w:cs="Tahoma"/>
        </w:rPr>
        <w:t xml:space="preserve"> or other matters related to your charitable organization.</w:t>
      </w:r>
    </w:p>
    <w:p w14:paraId="1BD2A595" w14:textId="77777777" w:rsidR="007D59EB" w:rsidRPr="00F20D1E" w:rsidRDefault="007D59EB" w:rsidP="00B7774F">
      <w:pPr>
        <w:ind w:left="0" w:firstLine="0"/>
        <w:rPr>
          <w:rFonts w:cs="Tahoma"/>
        </w:rPr>
      </w:pPr>
    </w:p>
    <w:p w14:paraId="323856DA" w14:textId="04904DA7" w:rsidR="003179F9" w:rsidRDefault="003179F9" w:rsidP="00B7774F">
      <w:pPr>
        <w:ind w:left="0" w:firstLine="0"/>
        <w:rPr>
          <w:rFonts w:cs="Tahoma"/>
        </w:rPr>
      </w:pPr>
    </w:p>
    <w:p w14:paraId="2EFFB11F" w14:textId="77777777" w:rsidR="00B7774F" w:rsidRPr="00363E2B" w:rsidRDefault="00B7774F" w:rsidP="00B7774F">
      <w:pPr>
        <w:ind w:left="0" w:firstLine="0"/>
        <w:rPr>
          <w:rFonts w:cs="Tahoma"/>
        </w:rPr>
      </w:pPr>
    </w:p>
    <w:p w14:paraId="0ACCEC86" w14:textId="0E60383D" w:rsidR="00DC47C3" w:rsidRPr="00363E2B" w:rsidRDefault="00DC47C3" w:rsidP="00B7774F">
      <w:pPr>
        <w:ind w:left="0" w:firstLine="0"/>
        <w:rPr>
          <w:rFonts w:cs="Tahoma"/>
        </w:rPr>
      </w:pPr>
    </w:p>
    <w:sectPr w:rsidR="00DC47C3" w:rsidRPr="00363E2B" w:rsidSect="00AE1159">
      <w:pgSz w:w="12240" w:h="15840" w:code="1"/>
      <w:pgMar w:top="1080" w:right="1440" w:bottom="720" w:left="1440" w:header="720" w:footer="720" w:gutter="0"/>
      <w:paperSrc w:first="274" w:other="27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649"/>
    <w:multiLevelType w:val="hybridMultilevel"/>
    <w:tmpl w:val="7D42E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1178B"/>
    <w:multiLevelType w:val="hybridMultilevel"/>
    <w:tmpl w:val="D7348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F35B7"/>
    <w:multiLevelType w:val="hybridMultilevel"/>
    <w:tmpl w:val="9352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F480F"/>
    <w:multiLevelType w:val="hybridMultilevel"/>
    <w:tmpl w:val="4D2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047AF5"/>
    <w:multiLevelType w:val="hybridMultilevel"/>
    <w:tmpl w:val="C1D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451"/>
    <w:multiLevelType w:val="hybridMultilevel"/>
    <w:tmpl w:val="6A4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7413"/>
    <w:multiLevelType w:val="hybridMultilevel"/>
    <w:tmpl w:val="3CBC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6481A"/>
    <w:multiLevelType w:val="hybridMultilevel"/>
    <w:tmpl w:val="967ECAE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D834213"/>
    <w:multiLevelType w:val="hybridMultilevel"/>
    <w:tmpl w:val="EEA8545A"/>
    <w:lvl w:ilvl="0" w:tplc="82A6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E7158"/>
    <w:multiLevelType w:val="hybridMultilevel"/>
    <w:tmpl w:val="40A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33B67"/>
    <w:multiLevelType w:val="hybridMultilevel"/>
    <w:tmpl w:val="4D0A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4781"/>
    <w:multiLevelType w:val="hybridMultilevel"/>
    <w:tmpl w:val="AEEC0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7C5D4B"/>
    <w:multiLevelType w:val="hybridMultilevel"/>
    <w:tmpl w:val="F56277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57B2"/>
    <w:multiLevelType w:val="hybridMultilevel"/>
    <w:tmpl w:val="E3C0E752"/>
    <w:lvl w:ilvl="0" w:tplc="13CCD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E0069"/>
    <w:multiLevelType w:val="hybridMultilevel"/>
    <w:tmpl w:val="F26CD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2027453">
    <w:abstractNumId w:val="1"/>
  </w:num>
  <w:num w:numId="2" w16cid:durableId="568660794">
    <w:abstractNumId w:val="14"/>
  </w:num>
  <w:num w:numId="3" w16cid:durableId="1090351741">
    <w:abstractNumId w:val="6"/>
  </w:num>
  <w:num w:numId="4" w16cid:durableId="253629708">
    <w:abstractNumId w:val="13"/>
  </w:num>
  <w:num w:numId="5" w16cid:durableId="366949907">
    <w:abstractNumId w:val="12"/>
  </w:num>
  <w:num w:numId="6" w16cid:durableId="1472862125">
    <w:abstractNumId w:val="10"/>
  </w:num>
  <w:num w:numId="7" w16cid:durableId="1366835468">
    <w:abstractNumId w:val="8"/>
  </w:num>
  <w:num w:numId="8" w16cid:durableId="1938251718">
    <w:abstractNumId w:val="4"/>
  </w:num>
  <w:num w:numId="9" w16cid:durableId="1715882031">
    <w:abstractNumId w:val="3"/>
  </w:num>
  <w:num w:numId="10" w16cid:durableId="630592075">
    <w:abstractNumId w:val="0"/>
  </w:num>
  <w:num w:numId="11" w16cid:durableId="616913667">
    <w:abstractNumId w:val="11"/>
  </w:num>
  <w:num w:numId="12" w16cid:durableId="1912348013">
    <w:abstractNumId w:val="2"/>
  </w:num>
  <w:num w:numId="13" w16cid:durableId="366024798">
    <w:abstractNumId w:val="5"/>
  </w:num>
  <w:num w:numId="14" w16cid:durableId="315572184">
    <w:abstractNumId w:val="9"/>
  </w:num>
  <w:num w:numId="15" w16cid:durableId="827091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C3"/>
    <w:rsid w:val="00044F00"/>
    <w:rsid w:val="0008373C"/>
    <w:rsid w:val="000B3747"/>
    <w:rsid w:val="000C09CD"/>
    <w:rsid w:val="000C314A"/>
    <w:rsid w:val="000C6B2E"/>
    <w:rsid w:val="000D1B4A"/>
    <w:rsid w:val="000E1595"/>
    <w:rsid w:val="00102FC9"/>
    <w:rsid w:val="00115982"/>
    <w:rsid w:val="001250AE"/>
    <w:rsid w:val="00152BEE"/>
    <w:rsid w:val="00160B7B"/>
    <w:rsid w:val="001863D9"/>
    <w:rsid w:val="00187278"/>
    <w:rsid w:val="00190A18"/>
    <w:rsid w:val="001A6839"/>
    <w:rsid w:val="001B2443"/>
    <w:rsid w:val="001B77C6"/>
    <w:rsid w:val="001C14BD"/>
    <w:rsid w:val="001E0E76"/>
    <w:rsid w:val="00201D28"/>
    <w:rsid w:val="002034DB"/>
    <w:rsid w:val="00223DF5"/>
    <w:rsid w:val="00231C6D"/>
    <w:rsid w:val="0025260E"/>
    <w:rsid w:val="002754EC"/>
    <w:rsid w:val="00280B7B"/>
    <w:rsid w:val="00282B2D"/>
    <w:rsid w:val="002C240A"/>
    <w:rsid w:val="002F367F"/>
    <w:rsid w:val="00302F09"/>
    <w:rsid w:val="00310858"/>
    <w:rsid w:val="003179F9"/>
    <w:rsid w:val="00350AF8"/>
    <w:rsid w:val="00362F03"/>
    <w:rsid w:val="00363E2B"/>
    <w:rsid w:val="0036553E"/>
    <w:rsid w:val="00365739"/>
    <w:rsid w:val="003801CA"/>
    <w:rsid w:val="00385657"/>
    <w:rsid w:val="00393A19"/>
    <w:rsid w:val="003967DD"/>
    <w:rsid w:val="003C2F05"/>
    <w:rsid w:val="003D03C5"/>
    <w:rsid w:val="003D2A97"/>
    <w:rsid w:val="003F2F1A"/>
    <w:rsid w:val="00452046"/>
    <w:rsid w:val="00460CAD"/>
    <w:rsid w:val="00470E20"/>
    <w:rsid w:val="00473B72"/>
    <w:rsid w:val="00490DE1"/>
    <w:rsid w:val="004B39CB"/>
    <w:rsid w:val="004C19EE"/>
    <w:rsid w:val="004C735F"/>
    <w:rsid w:val="005137AF"/>
    <w:rsid w:val="00520974"/>
    <w:rsid w:val="005212B8"/>
    <w:rsid w:val="00547D32"/>
    <w:rsid w:val="005625A0"/>
    <w:rsid w:val="005B4A51"/>
    <w:rsid w:val="005B5E2D"/>
    <w:rsid w:val="005D6F64"/>
    <w:rsid w:val="005E1767"/>
    <w:rsid w:val="005E64BF"/>
    <w:rsid w:val="005F3B24"/>
    <w:rsid w:val="0061154C"/>
    <w:rsid w:val="00635D5F"/>
    <w:rsid w:val="00646CEC"/>
    <w:rsid w:val="00680099"/>
    <w:rsid w:val="006853BA"/>
    <w:rsid w:val="006A36BA"/>
    <w:rsid w:val="006B2DFA"/>
    <w:rsid w:val="006C1A5C"/>
    <w:rsid w:val="006D551F"/>
    <w:rsid w:val="006D624B"/>
    <w:rsid w:val="006E529F"/>
    <w:rsid w:val="00707F46"/>
    <w:rsid w:val="007114C1"/>
    <w:rsid w:val="00715520"/>
    <w:rsid w:val="00721CE8"/>
    <w:rsid w:val="00740059"/>
    <w:rsid w:val="00742C81"/>
    <w:rsid w:val="0075002D"/>
    <w:rsid w:val="00753A31"/>
    <w:rsid w:val="007D59EB"/>
    <w:rsid w:val="007E091D"/>
    <w:rsid w:val="007E7AC6"/>
    <w:rsid w:val="008060F7"/>
    <w:rsid w:val="008078DD"/>
    <w:rsid w:val="008170A3"/>
    <w:rsid w:val="00833CB1"/>
    <w:rsid w:val="0086435D"/>
    <w:rsid w:val="008669C2"/>
    <w:rsid w:val="00871F83"/>
    <w:rsid w:val="008813C8"/>
    <w:rsid w:val="00890401"/>
    <w:rsid w:val="00897E32"/>
    <w:rsid w:val="00912859"/>
    <w:rsid w:val="00926021"/>
    <w:rsid w:val="00932FB2"/>
    <w:rsid w:val="00933B59"/>
    <w:rsid w:val="0093480D"/>
    <w:rsid w:val="00943E9D"/>
    <w:rsid w:val="0095009B"/>
    <w:rsid w:val="009851EE"/>
    <w:rsid w:val="009900CE"/>
    <w:rsid w:val="009A6608"/>
    <w:rsid w:val="009B37E6"/>
    <w:rsid w:val="009C7149"/>
    <w:rsid w:val="009D188E"/>
    <w:rsid w:val="009F0851"/>
    <w:rsid w:val="00A02B58"/>
    <w:rsid w:val="00A13899"/>
    <w:rsid w:val="00A3275A"/>
    <w:rsid w:val="00A425F5"/>
    <w:rsid w:val="00A56758"/>
    <w:rsid w:val="00A71EA0"/>
    <w:rsid w:val="00AA3F0A"/>
    <w:rsid w:val="00AB07B2"/>
    <w:rsid w:val="00AC1B79"/>
    <w:rsid w:val="00AC4CC6"/>
    <w:rsid w:val="00AE1159"/>
    <w:rsid w:val="00AE7DE0"/>
    <w:rsid w:val="00B44459"/>
    <w:rsid w:val="00B56206"/>
    <w:rsid w:val="00B56B34"/>
    <w:rsid w:val="00B64E36"/>
    <w:rsid w:val="00B65FE2"/>
    <w:rsid w:val="00B73BBF"/>
    <w:rsid w:val="00B7606F"/>
    <w:rsid w:val="00B7774F"/>
    <w:rsid w:val="00BC457F"/>
    <w:rsid w:val="00BD5162"/>
    <w:rsid w:val="00BF1279"/>
    <w:rsid w:val="00BF5AB8"/>
    <w:rsid w:val="00BF65D7"/>
    <w:rsid w:val="00C22A46"/>
    <w:rsid w:val="00C41EC1"/>
    <w:rsid w:val="00C439C2"/>
    <w:rsid w:val="00C515AA"/>
    <w:rsid w:val="00C72315"/>
    <w:rsid w:val="00C730AF"/>
    <w:rsid w:val="00C801EC"/>
    <w:rsid w:val="00C81D00"/>
    <w:rsid w:val="00C836B4"/>
    <w:rsid w:val="00C90A19"/>
    <w:rsid w:val="00C97E4C"/>
    <w:rsid w:val="00CA026F"/>
    <w:rsid w:val="00CC4E0E"/>
    <w:rsid w:val="00CE285F"/>
    <w:rsid w:val="00CF079C"/>
    <w:rsid w:val="00D27A3A"/>
    <w:rsid w:val="00D34C97"/>
    <w:rsid w:val="00D80EA3"/>
    <w:rsid w:val="00DC47C3"/>
    <w:rsid w:val="00E10960"/>
    <w:rsid w:val="00E13F60"/>
    <w:rsid w:val="00E7276B"/>
    <w:rsid w:val="00E81DD4"/>
    <w:rsid w:val="00E81EE0"/>
    <w:rsid w:val="00EB729C"/>
    <w:rsid w:val="00EF0848"/>
    <w:rsid w:val="00F0405F"/>
    <w:rsid w:val="00F069D0"/>
    <w:rsid w:val="00F20D1E"/>
    <w:rsid w:val="00F26634"/>
    <w:rsid w:val="00F44B8B"/>
    <w:rsid w:val="00F579F7"/>
    <w:rsid w:val="00FA7C1C"/>
    <w:rsid w:val="00FB694F"/>
    <w:rsid w:val="00FD1343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A298"/>
  <w15:chartTrackingRefBased/>
  <w15:docId w15:val="{2FED9FE7-117D-47DE-8904-A706C3B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C3"/>
    <w:pPr>
      <w:spacing w:before="0" w:after="0"/>
      <w:ind w:left="720" w:hanging="720"/>
      <w:jc w:val="both"/>
    </w:pPr>
    <w:rPr>
      <w:rFonts w:ascii="Tahoma" w:hAnsi="Tahom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3"/>
    <w:pPr>
      <w:contextualSpacing/>
    </w:pPr>
  </w:style>
  <w:style w:type="character" w:styleId="Hyperlink">
    <w:name w:val="Hyperlink"/>
    <w:basedOn w:val="DefaultParagraphFont"/>
    <w:uiPriority w:val="99"/>
    <w:unhideWhenUsed/>
    <w:rsid w:val="00DC4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Trichtinger</dc:creator>
  <cp:keywords/>
  <dc:description/>
  <cp:lastModifiedBy>Diane Trichtinger</cp:lastModifiedBy>
  <cp:revision>32</cp:revision>
  <cp:lastPrinted>2022-07-27T12:35:00Z</cp:lastPrinted>
  <dcterms:created xsi:type="dcterms:W3CDTF">2021-03-29T16:10:00Z</dcterms:created>
  <dcterms:modified xsi:type="dcterms:W3CDTF">2022-07-29T12:52:00Z</dcterms:modified>
</cp:coreProperties>
</file>